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Για τους εμπλεκόμενους με την εκπαίδευση, οι οποίοι επιθυμούν να διευρύνουν /αναπτύξουν / εξειδικεύσουν τις γνώσεις τους, προσφέρονται τα ακόλουθα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Μεταπτυχιακά Προγράμματα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Σπουδών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(επιπέδου μάστερ) 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: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71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1F497D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1F497D"/>
          <w:sz w:val="14"/>
          <w:lang w:eastAsia="el-GR"/>
        </w:rPr>
        <w:t> </w:t>
      </w:r>
      <w:hyperlink r:id="rId4" w:tgtFrame="_blank" w:history="1">
        <w:r w:rsidRPr="0012628A">
          <w:rPr>
            <w:rFonts w:ascii="Bookman Old Style" w:eastAsia="Times New Roman" w:hAnsi="Bookman Old Style" w:cs="Arial"/>
            <w:b/>
            <w:bCs/>
            <w:i/>
            <w:iCs/>
            <w:color w:val="1155CC"/>
            <w:sz w:val="21"/>
            <w:u w:val="single"/>
            <w:lang w:eastAsia="el-GR"/>
          </w:rPr>
          <w:t>Επιστήμες της Αγωγής</w:t>
        </w:r>
      </w:hyperlink>
      <w:r w:rsidRPr="0012628A">
        <w:rPr>
          <w:rFonts w:ascii="Bookman Old Style" w:eastAsia="Times New Roman" w:hAnsi="Bookman Old Style" w:cs="Arial"/>
          <w:color w:val="000000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(με 5 κατευθύνσεις :</w:t>
      </w:r>
      <w:r w:rsidRPr="0012628A">
        <w:rPr>
          <w:rFonts w:ascii="Bookman Old Style" w:eastAsia="Times New Roman" w:hAnsi="Bookman Old Style" w:cs="Arial"/>
          <w:color w:val="000000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Εκπαιδευτική Ηγεσία και Πολιτική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,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Εκπαίδευση για την Κοινωνική Δικαιοσύνη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,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Ειδική Εκπαίδευση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,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Συνεχιζόμενη Εκπαίδευση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,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Τεχνολογίες Μάθησης και Επικοινωνίας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)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71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1F497D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1F497D"/>
          <w:sz w:val="14"/>
          <w:lang w:eastAsia="el-GR"/>
        </w:rPr>
        <w:t> </w:t>
      </w:r>
      <w:hyperlink r:id="rId5" w:tgtFrame="_blank" w:history="1">
        <w:r w:rsidRPr="0012628A">
          <w:rPr>
            <w:rFonts w:ascii="Bookman Old Style" w:eastAsia="Times New Roman" w:hAnsi="Bookman Old Style" w:cs="Arial"/>
            <w:b/>
            <w:bCs/>
            <w:i/>
            <w:iCs/>
            <w:color w:val="1155CC"/>
            <w:sz w:val="21"/>
            <w:u w:val="single"/>
            <w:lang w:eastAsia="el-GR"/>
          </w:rPr>
          <w:t>Συνεχιζόμενη Εκπαίδευση &amp; Διά Βίου Μάθηση</w:t>
        </w:r>
      </w:hyperlink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71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1F497D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1F497D"/>
          <w:sz w:val="14"/>
          <w:lang w:eastAsia="el-GR"/>
        </w:rPr>
        <w:t> </w:t>
      </w:r>
      <w:hyperlink r:id="rId6" w:tgtFrame="_blank" w:history="1">
        <w:r w:rsidRPr="0012628A">
          <w:rPr>
            <w:rFonts w:ascii="Bookman Old Style" w:eastAsia="Times New Roman" w:hAnsi="Bookman Old Style" w:cs="Arial"/>
            <w:b/>
            <w:bCs/>
            <w:color w:val="1155CC"/>
            <w:sz w:val="21"/>
            <w:u w:val="single"/>
            <w:lang w:eastAsia="el-GR"/>
          </w:rPr>
          <w:t>Ελληνική Γλώσσα και Λογοτεχνία</w:t>
        </w:r>
      </w:hyperlink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71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1F497D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1F497D"/>
          <w:sz w:val="14"/>
          <w:lang w:eastAsia="el-GR"/>
        </w:rPr>
        <w:t> </w:t>
      </w:r>
      <w:hyperlink r:id="rId7" w:tgtFrame="_blank" w:history="1">
        <w:r w:rsidRPr="0012628A">
          <w:rPr>
            <w:rFonts w:ascii="Bookman Old Style" w:eastAsia="Times New Roman" w:hAnsi="Bookman Old Style" w:cs="Arial"/>
            <w:b/>
            <w:bCs/>
            <w:i/>
            <w:iCs/>
            <w:color w:val="1155CC"/>
            <w:sz w:val="21"/>
            <w:u w:val="single"/>
            <w:lang w:eastAsia="el-GR"/>
          </w:rPr>
          <w:t>Θεατρικές Σπουδές</w:t>
        </w:r>
      </w:hyperlink>
      <w:r w:rsidRPr="0012628A">
        <w:rPr>
          <w:rFonts w:ascii="Bookman Old Style" w:eastAsia="Times New Roman" w:hAnsi="Bookman Old Style" w:cs="Arial"/>
          <w:color w:val="1F497D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(με 3 κατευθύνσεις :</w:t>
      </w:r>
      <w:r w:rsidRPr="0012628A">
        <w:rPr>
          <w:rFonts w:ascii="Bookman Old Style" w:eastAsia="Times New Roman" w:hAnsi="Bookman Old Style" w:cs="Arial"/>
          <w:color w:val="000000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u w:val="single"/>
          <w:lang w:eastAsia="el-GR"/>
        </w:rPr>
        <w:t>Επιβίωση</w:t>
      </w:r>
      <w:r w:rsidRPr="0012628A">
        <w:rPr>
          <w:rFonts w:ascii="Bookman Old Style" w:eastAsia="Times New Roman" w:hAnsi="Bookman Old Style" w:cs="Arial"/>
          <w:color w:val="222222"/>
          <w:sz w:val="21"/>
          <w:u w:val="single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του αρχαίου δράματος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,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Θεατρική αγωγή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 </w:t>
      </w:r>
      <w:proofErr w:type="spellStart"/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και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Υποκριτική</w:t>
      </w:r>
      <w:proofErr w:type="spellEnd"/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 xml:space="preserve"> &amp; Σκηνοθεσία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)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.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Οι ενδιαφερόμενοι έχουν τη δυνατότητα, στην ίδια αίτηση, να επιλέξουν όσα Προγράμματα επιθυμούν.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 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Συνολικά, για το ακαδημαϊκό έτος 2015-2016 προσφέρονται :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000000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3 Πτυχιακά Προγράμματα Σπουδών,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000000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21 Μεταπτυχιακά Προγράμματα επιπέδου Μάστερ (17 στην Ελληνική και 4 στην Αγγλική γλώσσα),  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000000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περιορισμένος αριθμός θέσεων για διδακτορικούς φοιτητές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σε μεγάλο αριθμό ερευνητικών αντικειμένων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,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000000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2628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000000"/>
          <w:sz w:val="21"/>
          <w:szCs w:val="21"/>
          <w:lang w:eastAsia="el-GR"/>
        </w:rPr>
        <w:t>διαδικτυακά σεμινάρια με αντικείμενο τα μέσα κοινωνικής δικτύωσης.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Για περαιτέρω πληροφόρηση, μπορείτε να ενημερώνεστε μέσω του ηλεκτρονικού συνδέσμου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: </w:t>
      </w:r>
      <w:hyperlink r:id="rId8" w:tgtFrame="_blank" w:history="1"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http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://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www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ouc</w:t>
        </w:r>
        <w:proofErr w:type="spellEnd"/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ac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cy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web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guest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/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university</w:t>
        </w:r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el-GR"/>
          </w:rPr>
          <w:t>/</w:t>
        </w:r>
        <w:proofErr w:type="spellStart"/>
        <w:r w:rsidRPr="0012628A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val="en-US" w:eastAsia="el-GR"/>
          </w:rPr>
          <w:t>programme</w:t>
        </w:r>
        <w:proofErr w:type="spellEnd"/>
      </w:hyperlink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Παρέχεται, επίσης :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-Αριθμός υποτροφιών σχεδόν σε κάθε Πρόγραμμα Σπουδών,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-Έκπτωση 10% στο κόστος της κάθε Θεματικής Ενότητας (Θ.Ε.) που θα επιλέξει να παρακολουθήσει ο φοιτητής για το ακαδημαϊκό έτος 2015-2016,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lastRenderedPageBreak/>
        <w:t>-Επιπλέον έκπτωση 5% σε όσους φοιτητές αποπληρώσουν ολόκληρο το ποσό των Θ.Ε. κατά τη χρονική περίοδο καταβολής της προκαταβολής (Μάιο)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Η φοίτηση στο </w:t>
      </w:r>
      <w:r w:rsidRPr="0012628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l-GR"/>
        </w:rPr>
        <w:t>Ανοικτό Πανεπιστήμιο Κύπρου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(Α.Π.ΚΥ.) διεξάγεται εξ αποστάσεως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.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Η μόνη υποχρέωση φυσικής παρουσίας αφορά στην τελική, γραπτή εξέταση της κάθε </w:t>
      </w:r>
      <w:proofErr w:type="spellStart"/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Θ.Ε.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el-GR"/>
        </w:rPr>
        <w:t>Το</w:t>
      </w:r>
      <w:proofErr w:type="spellEnd"/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el-GR"/>
        </w:rPr>
        <w:t xml:space="preserve"> Πανεπιστήμιο φροντίζει να δημιουργεί εξεταστικά κέντρα στην Ελλάδα (Αθήνα και Θεσσαλονίκη)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, προκειμένου να διευκολύνει τους φοιτητές του από Ελλάδα, οι οποίοι αντιστοιχούν σε ποσοστό πλέον του 50% του συνολικού αριθμού φοιτητών του Α.Π.ΚΥ.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Το Ανοικτό Πανεπιστήμιο παρέχει τη δυνατότητα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διεκδίκησης θέσης στα Προγράμματα Σπουδών του, σε όσους έχουν την πεποίθηση ότι :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222222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</w:t>
      </w:r>
      <w:r w:rsidRPr="0012628A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Η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απόκτηση γνώσης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οδηγεί στον εμπλουτισμό των επαγγελματικών προσόντων και συμβάλλει στη βελτίωση της πρακτικής εξάσκησης των καθηκόντων ενός εργαζομένου.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222222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</w:t>
      </w:r>
      <w:r w:rsidRPr="0012628A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Η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διά βίου μάθηση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τονώνει την κοινωνική, προσωπική και συναισθηματική εικόνα ενός ατόμου, προσδίδει αυτοπεποίθηση και σε πολλές περιπτώσεις δίνει νόημα και ουσία.</w:t>
      </w:r>
    </w:p>
    <w:p w:rsidR="0012628A" w:rsidRPr="0012628A" w:rsidRDefault="0012628A" w:rsidP="0012628A">
      <w:pPr>
        <w:shd w:val="clear" w:color="auto" w:fill="FFFFFF"/>
        <w:spacing w:before="100" w:beforeAutospacing="1" w:after="100" w:afterAutospacing="1" w:line="321" w:lineRule="atLeast"/>
        <w:ind w:left="284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12628A">
        <w:rPr>
          <w:rFonts w:ascii="Symbol" w:eastAsia="Times New Roman" w:hAnsi="Symbol" w:cs="Arial"/>
          <w:color w:val="222222"/>
          <w:sz w:val="21"/>
          <w:szCs w:val="21"/>
          <w:lang w:eastAsia="el-GR"/>
        </w:rPr>
        <w:t></w:t>
      </w:r>
      <w:r w:rsidRPr="0012628A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</w:t>
      </w:r>
      <w:r w:rsidRPr="0012628A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Η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u w:val="single"/>
          <w:lang w:eastAsia="el-GR"/>
        </w:rPr>
        <w:t>εξ αποστάσεως εκπαίδευση</w:t>
      </w:r>
      <w:r w:rsidRPr="0012628A">
        <w:rPr>
          <w:rFonts w:ascii="Bookman Old Style" w:eastAsia="Times New Roman" w:hAnsi="Bookman Old Style" w:cs="Arial"/>
          <w:color w:val="222222"/>
          <w:sz w:val="21"/>
          <w:lang w:eastAsia="el-GR"/>
        </w:rPr>
        <w:t> </w:t>
      </w:r>
      <w:r w:rsidRPr="0012628A">
        <w:rPr>
          <w:rFonts w:ascii="Bookman Old Style" w:eastAsia="Times New Roman" w:hAnsi="Bookman Old Style" w:cs="Arial"/>
          <w:color w:val="222222"/>
          <w:sz w:val="21"/>
          <w:szCs w:val="21"/>
          <w:lang w:eastAsia="el-GR"/>
        </w:rPr>
        <w:t>αποτελεί τη σύγχρονη, καινοτόμα και πρωτοποριακή απάντηση στις ανάγκες της κοινωνίας. Η εξέλιξη της τεχνολογίας, οι συνεχώς αυξανόμενες απαιτήσεις σε όλους τους τομείς και οι γρήγοροι ρυθμοί που επικρατούν, οδηγούν τα άτομα στην αναζήτηση μιας ευέλικτης μεθοδολογίας φοίτησης.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Είναι σημαντικό, επίσης, να αναφερθεί ότι ο αριθμός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των προσφερόμενων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θέσεων 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στα πλείστα Προγράμματά μας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(πτυχιακά – μεταπτυχιακά)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 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είναι «ανοικτός»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.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Θα  γίνουν, δηλαδή, δεκτοί όλοι όσοι 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συμπληρώσουν και υποβάλλουν την αίτησή τους, επισυνάψουν τα απαραίτητα πιστοποιητικά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,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ανάλογα με το Πρόγραμμα</w:t>
      </w:r>
      <w:r w:rsidRPr="0012628A">
        <w:rPr>
          <w:rFonts w:ascii="Bookman Old Style" w:eastAsia="Times New Roman" w:hAnsi="Bookman Old Style" w:cs="Times New Roman"/>
          <w:color w:val="1F497D"/>
          <w:sz w:val="24"/>
          <w:szCs w:val="24"/>
          <w:lang w:eastAsia="el-GR"/>
        </w:rPr>
        <w:t>,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και πληρούν τις ελάχιστες προϋποθέσεις </w:t>
      </w: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που έχουν τεθεί.</w:t>
      </w:r>
    </w:p>
    <w:p w:rsidR="0012628A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</w:t>
      </w:r>
    </w:p>
    <w:p w:rsidR="00F00924" w:rsidRPr="0012628A" w:rsidRDefault="0012628A" w:rsidP="0012628A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2628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Για οποιεσδήποτε επιπλέον διευκρινίσεις, παρακαλούμε να επικοινωνείτε με την ακόλουθη ηλεκτρονική διεύθυνση</w:t>
      </w:r>
      <w:r w:rsidRPr="0012628A">
        <w:rPr>
          <w:rFonts w:ascii="Bookman Old Style" w:eastAsia="Times New Roman" w:hAnsi="Bookman Old Style" w:cs="Times New Roman"/>
          <w:color w:val="222222"/>
          <w:sz w:val="24"/>
          <w:szCs w:val="24"/>
          <w:lang w:eastAsia="el-GR"/>
        </w:rPr>
        <w:t> : </w:t>
      </w:r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val="en-US" w:eastAsia="el-GR"/>
        </w:rPr>
        <w:t>admissions</w:t>
      </w:r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eastAsia="el-GR"/>
        </w:rPr>
        <w:t>@</w:t>
      </w:r>
      <w:proofErr w:type="spellStart"/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val="en-US" w:eastAsia="el-GR"/>
        </w:rPr>
        <w:t>ouc</w:t>
      </w:r>
      <w:proofErr w:type="spellEnd"/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eastAsia="el-GR"/>
        </w:rPr>
        <w:t>.</w:t>
      </w:r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val="en-US" w:eastAsia="el-GR"/>
        </w:rPr>
        <w:t>ac</w:t>
      </w:r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eastAsia="el-GR"/>
        </w:rPr>
        <w:t>.</w:t>
      </w:r>
      <w:r w:rsidRPr="0012628A">
        <w:rPr>
          <w:rFonts w:ascii="Bookman Old Style" w:eastAsia="Times New Roman" w:hAnsi="Bookman Old Style" w:cs="Times New Roman"/>
          <w:b/>
          <w:bCs/>
          <w:color w:val="1155CC"/>
          <w:sz w:val="24"/>
          <w:szCs w:val="24"/>
          <w:u w:val="single"/>
          <w:lang w:val="en-US" w:eastAsia="el-GR"/>
        </w:rPr>
        <w:t>cy</w:t>
      </w:r>
    </w:p>
    <w:sectPr w:rsidR="00F00924" w:rsidRPr="0012628A" w:rsidSect="00F00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628A"/>
    <w:rsid w:val="000A5B8C"/>
    <w:rsid w:val="0012628A"/>
    <w:rsid w:val="00F0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28A"/>
  </w:style>
  <w:style w:type="paragraph" w:styleId="Web">
    <w:name w:val="Normal (Web)"/>
    <w:basedOn w:val="a"/>
    <w:uiPriority w:val="99"/>
    <w:semiHidden/>
    <w:unhideWhenUsed/>
    <w:rsid w:val="0012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2628A"/>
    <w:rPr>
      <w:b/>
      <w:bCs/>
    </w:rPr>
  </w:style>
  <w:style w:type="character" w:styleId="-">
    <w:name w:val="Hyperlink"/>
    <w:basedOn w:val="a0"/>
    <w:uiPriority w:val="99"/>
    <w:semiHidden/>
    <w:unhideWhenUsed/>
    <w:rsid w:val="00126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.ac.cy/web/guest/university/program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c.ac.cy/web/guest/s1/programme/theasp/descrip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c.ac.cy/web/guest/s1/programme/elilogo/description" TargetMode="External"/><Relationship Id="rId5" Type="http://schemas.openxmlformats.org/officeDocument/2006/relationships/hyperlink" Target="http://www.ouc.ac.cy/web/guest/s1/programme/sdm/descrip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c.ac.cy/web/guest/s3/programme/epa/descrip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2015-04-20T12:09:00Z</dcterms:created>
  <dcterms:modified xsi:type="dcterms:W3CDTF">2015-04-20T12:10:00Z</dcterms:modified>
</cp:coreProperties>
</file>